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p>
    <w:p w:rsidR="00C87AD4" w:rsidRDefault="00C87AD4" w:rsidP="00C87AD4">
      <w:pPr>
        <w:tabs>
          <w:tab w:val="left" w:pos="0"/>
        </w:tabs>
        <w:ind w:right="-180"/>
        <w:rPr>
          <w:rFonts w:ascii="Helvetica" w:hAnsi="Helvetica"/>
          <w:b/>
          <w:sz w:val="36"/>
        </w:rPr>
      </w:pPr>
    </w:p>
    <w:p w:rsidR="00C87AD4" w:rsidRPr="003A01D9" w:rsidRDefault="00115EEE" w:rsidP="003A01D9">
      <w:pPr>
        <w:tabs>
          <w:tab w:val="left" w:pos="0"/>
        </w:tabs>
        <w:ind w:right="-180"/>
        <w:rPr>
          <w:rFonts w:ascii="Helvetica" w:hAnsi="Helvetica"/>
          <w:b/>
          <w:sz w:val="36"/>
        </w:rPr>
      </w:pPr>
      <w:r w:rsidRPr="00115EEE">
        <w:rPr>
          <w:rFonts w:ascii="Helvetica" w:hAnsi="Helvetica"/>
          <w:b/>
          <w:sz w:val="36"/>
        </w:rPr>
        <w:t>EUCO-SPEED BLUE LINE</w:t>
      </w:r>
      <w:r w:rsidR="009946CE">
        <w:rPr>
          <w:rFonts w:ascii="Helvetica" w:hAnsi="Helvetica"/>
          <w:b/>
          <w:sz w:val="36"/>
        </w:rPr>
        <w:t xml:space="preserve"> </w:t>
      </w:r>
    </w:p>
    <w:p w:rsidR="00C87AD4" w:rsidRPr="00C87AD4" w:rsidRDefault="00C87AD4" w:rsidP="00C87AD4">
      <w:pPr>
        <w:rPr>
          <w:rFonts w:ascii="Helvetica" w:hAnsi="Helvetica"/>
          <w:b/>
          <w:sz w:val="16"/>
        </w:rPr>
      </w:pPr>
    </w:p>
    <w:p w:rsidR="00C87AD4" w:rsidRDefault="00115EEE" w:rsidP="00C87AD4">
      <w:pPr>
        <w:rPr>
          <w:rFonts w:ascii="Helvetica" w:hAnsi="Helvetica"/>
          <w:szCs w:val="26"/>
        </w:rPr>
      </w:pPr>
      <w:r w:rsidRPr="00115EEE">
        <w:t>Mortier de réparation à base de liant à prise rapide pour les réparations sous l'eau. Applications d'une épaisseur minimum de 19 mm (3/4 po) et maximum de 76 mm (3 po) par couche.</w:t>
      </w:r>
      <w:r w:rsidR="005B3895">
        <w:t xml:space="preserve"> </w:t>
      </w:r>
      <w:r w:rsidR="00C87AD4" w:rsidRPr="00C87AD4">
        <w:rPr>
          <w:rFonts w:ascii="Helvetica" w:hAnsi="Helvetica"/>
          <w:szCs w:val="26"/>
        </w:rPr>
        <w:t xml:space="preserve"> </w:t>
      </w:r>
    </w:p>
    <w:p w:rsidR="0074760D" w:rsidRPr="003A01D9" w:rsidRDefault="0074760D" w:rsidP="00C87AD4">
      <w:pPr>
        <w:rPr>
          <w:rFonts w:ascii="Helvetica" w:hAnsi="Helvetica"/>
          <w:b/>
          <w:i/>
          <w:color w:val="0070C0"/>
          <w:sz w:val="20"/>
        </w:rPr>
      </w:pPr>
    </w:p>
    <w:p w:rsidR="00115EEE" w:rsidRPr="0076091F" w:rsidRDefault="009D6F43" w:rsidP="00115EEE">
      <w:pPr>
        <w:pStyle w:val="guideNOTE"/>
      </w:pPr>
      <w:r w:rsidRPr="000B09F5">
        <w:rPr>
          <w:color w:val="365F91" w:themeColor="accent1" w:themeShade="BF"/>
        </w:rPr>
        <w:t xml:space="preserve"> </w:t>
      </w:r>
      <w:r w:rsidR="00115EEE" w:rsidRPr="0076091F">
        <w:t>{Note au rédacteur : Les paragraphes ci-dessous sont conçus pour être intégrés aux parties 2 et 3 des spécifications en trois parties du format CSI (normalement 03 30 00), aux remarques générales des ouvrages du projet ou directement aux plans. Ces paragraphes doivent être attentivement revus et modifiés par un professionnel en conception qualifié afin de répondre aux exigences particulières du projet et d'assurer leur conformité aux codes du bâtiment en vigueur et leur harmonisation avec les autres sections de spécification et les dessins.}</w:t>
      </w:r>
    </w:p>
    <w:p w:rsidR="00115EEE" w:rsidRPr="0076091F" w:rsidRDefault="00115EEE" w:rsidP="00115EEE">
      <w:pPr>
        <w:pStyle w:val="GuideSpec"/>
      </w:pPr>
    </w:p>
    <w:p w:rsidR="00115EEE" w:rsidRPr="0076091F" w:rsidRDefault="00115EEE" w:rsidP="00115EEE">
      <w:pPr>
        <w:pStyle w:val="GuideSpec"/>
      </w:pPr>
      <w:r w:rsidRPr="0076091F">
        <w:t>PARTIE 2 </w:t>
      </w:r>
      <w:r w:rsidRPr="0076091F">
        <w:rPr>
          <w:rFonts w:cs="Helvetica"/>
          <w:cs/>
        </w:rPr>
        <w:t>–</w:t>
      </w:r>
      <w:r w:rsidRPr="0076091F">
        <w:tab/>
        <w:t>PRODUIT</w:t>
      </w:r>
    </w:p>
    <w:p w:rsidR="00115EEE" w:rsidRPr="0076091F" w:rsidRDefault="00115EEE" w:rsidP="00115EEE">
      <w:pPr>
        <w:pStyle w:val="GuideSpec"/>
      </w:pPr>
    </w:p>
    <w:p w:rsidR="00115EEE" w:rsidRPr="0076091F" w:rsidRDefault="00115EEE" w:rsidP="00115EEE">
      <w:pPr>
        <w:pStyle w:val="guideNOTE"/>
      </w:pPr>
      <w:r w:rsidRPr="0076091F">
        <w:t>{PRODUIT}</w:t>
      </w:r>
    </w:p>
    <w:p w:rsidR="00115EEE" w:rsidRPr="0076091F" w:rsidRDefault="00115EEE" w:rsidP="00115EEE">
      <w:pPr>
        <w:pStyle w:val="GuideSpec"/>
      </w:pPr>
    </w:p>
    <w:p w:rsidR="00115EEE" w:rsidRPr="0076091F" w:rsidRDefault="00115EEE" w:rsidP="00115EEE">
      <w:pPr>
        <w:pStyle w:val="GuideSpec"/>
      </w:pPr>
      <w:r w:rsidRPr="0076091F">
        <w:t>2.__</w:t>
      </w:r>
      <w:r w:rsidRPr="0076091F">
        <w:tab/>
        <w:t>MORTIER DE RÉPARATION CIMENTAIRE</w:t>
      </w:r>
    </w:p>
    <w:p w:rsidR="00115EEE" w:rsidRPr="0076091F" w:rsidRDefault="00115EEE" w:rsidP="00115EEE">
      <w:pPr>
        <w:pStyle w:val="GuideSpec"/>
      </w:pPr>
    </w:p>
    <w:p w:rsidR="00115EEE" w:rsidRPr="0076091F" w:rsidRDefault="00115EEE" w:rsidP="00115EEE">
      <w:pPr>
        <w:pStyle w:val="A0"/>
      </w:pPr>
      <w:r w:rsidRPr="0076091F">
        <w:t>A.</w:t>
      </w:r>
      <w:r w:rsidRPr="0076091F">
        <w:tab/>
        <w:t>Mortier de réparation cimentaire à prise rapide spécialement conçu pour la mise en place sous l'eau. Le produit doit présenter les caractéristiques suivantes :</w:t>
      </w:r>
    </w:p>
    <w:p w:rsidR="00115EEE" w:rsidRPr="0076091F" w:rsidRDefault="00115EEE" w:rsidP="00115EEE">
      <w:pPr>
        <w:pStyle w:val="1"/>
      </w:pPr>
      <w:r w:rsidRPr="0076091F">
        <w:t>1.</w:t>
      </w:r>
      <w:r w:rsidRPr="0076091F">
        <w:tab/>
        <w:t>Résistance à la compression minimale de 20,7 MPa à 24 heures, de 27,6 MPa à 7 jours et de 41,4 MPa à 28 jours selon ASTM C 109</w:t>
      </w:r>
    </w:p>
    <w:p w:rsidR="00115EEE" w:rsidRPr="0076091F" w:rsidRDefault="00115EEE" w:rsidP="00115EEE">
      <w:pPr>
        <w:pStyle w:val="1"/>
      </w:pPr>
      <w:r w:rsidRPr="0076091F">
        <w:t>2.</w:t>
      </w:r>
      <w:r w:rsidRPr="0076091F">
        <w:tab/>
        <w:t>Résistance à la flexion minimale de 4,1 MPa à 7 jours et de 4,8 MPa à 28 jours selon ASTM C 348</w:t>
      </w:r>
    </w:p>
    <w:p w:rsidR="00115EEE" w:rsidRPr="0076091F" w:rsidRDefault="00115EEE" w:rsidP="00115EEE">
      <w:pPr>
        <w:pStyle w:val="1"/>
      </w:pPr>
      <w:r w:rsidRPr="0076091F">
        <w:t>3.</w:t>
      </w:r>
      <w:r w:rsidRPr="0076091F">
        <w:tab/>
        <w:t>Retrait linéaire maximal de -0,01 % à 7 jours et de -0,054 % à 28 jours selon ASTM C 157</w:t>
      </w:r>
    </w:p>
    <w:p w:rsidR="00115EEE" w:rsidRPr="0076091F" w:rsidRDefault="00115EEE" w:rsidP="00115EEE">
      <w:pPr>
        <w:pStyle w:val="1"/>
      </w:pPr>
      <w:r w:rsidRPr="0076091F">
        <w:t>4.</w:t>
      </w:r>
      <w:r w:rsidRPr="0076091F">
        <w:tab/>
        <w:t>Résistance aux cycles de gel/dégel de 310 cycles, et module d'élasticité dynamique de 96,0 % selon ASTM C 666</w:t>
      </w:r>
    </w:p>
    <w:p w:rsidR="00115EEE" w:rsidRPr="0076091F" w:rsidRDefault="00115EEE" w:rsidP="00115EEE">
      <w:pPr>
        <w:pStyle w:val="1"/>
      </w:pPr>
      <w:r w:rsidRPr="0076091F">
        <w:t>5.</w:t>
      </w:r>
      <w:r w:rsidRPr="0076091F">
        <w:tab/>
        <w:t>Produit :</w:t>
      </w:r>
    </w:p>
    <w:p w:rsidR="00115EEE" w:rsidRPr="0076091F" w:rsidRDefault="00115EEE" w:rsidP="00115EEE">
      <w:pPr>
        <w:pStyle w:val="a"/>
      </w:pPr>
      <w:r w:rsidRPr="0076091F">
        <w:t>a)</w:t>
      </w:r>
      <w:r w:rsidRPr="0076091F">
        <w:tab/>
        <w:t xml:space="preserve">Euclid Canada; Euco-Speed Blue Line </w:t>
      </w:r>
      <w:hyperlink r:id="rId8" w:history="1">
        <w:r w:rsidRPr="0076091F">
          <w:rPr>
            <w:rStyle w:val="Hyperlink"/>
            <w:color w:val="000000"/>
          </w:rPr>
          <w:t>www.euclidchemical.com</w:t>
        </w:r>
      </w:hyperlink>
    </w:p>
    <w:p w:rsidR="00115EEE" w:rsidRPr="0076091F" w:rsidRDefault="00115EEE" w:rsidP="00115EEE">
      <w:pPr>
        <w:pStyle w:val="GuideSpec"/>
      </w:pPr>
    </w:p>
    <w:p w:rsidR="00115EEE" w:rsidRPr="0076091F" w:rsidRDefault="00115EEE" w:rsidP="00115EEE">
      <w:pPr>
        <w:pStyle w:val="A0"/>
      </w:pPr>
      <w:r w:rsidRPr="0076091F">
        <w:t>B.</w:t>
      </w:r>
      <w:r w:rsidRPr="0076091F">
        <w:tab/>
        <w:t>Le fabricant doit être certifié ISO 9001 pour la qualité. Afin d'assurer la compatibilité, tous les adjuvants doivent provenir du même fabricant.</w:t>
      </w:r>
    </w:p>
    <w:p w:rsidR="00115EEE" w:rsidRPr="0076091F" w:rsidRDefault="00115EEE" w:rsidP="00115EEE">
      <w:pPr>
        <w:pStyle w:val="A0"/>
      </w:pPr>
    </w:p>
    <w:p w:rsidR="00115EEE" w:rsidRPr="0076091F" w:rsidRDefault="00115EEE" w:rsidP="00115EEE">
      <w:pPr>
        <w:pStyle w:val="A0"/>
        <w:rPr>
          <w:color w:val="0000FF"/>
        </w:rPr>
      </w:pPr>
      <w:r w:rsidRPr="0076091F">
        <w:t>C.</w:t>
      </w:r>
      <w:r w:rsidRPr="0076091F">
        <w:tab/>
        <w:t>Afin d'assurer la compatibilité, l'agent de liaison et l'agent de cure, le cas échéant, doivent provenir du même fabricant que le mortier de réparation.</w:t>
      </w:r>
    </w:p>
    <w:p w:rsidR="00115EEE" w:rsidRPr="0076091F" w:rsidRDefault="00115EEE" w:rsidP="00115EEE">
      <w:pPr>
        <w:pStyle w:val="GuideSpec"/>
      </w:pPr>
    </w:p>
    <w:p w:rsidR="00115EEE" w:rsidRPr="0076091F" w:rsidRDefault="00115EEE" w:rsidP="00115EEE">
      <w:pPr>
        <w:pStyle w:val="guideNOTE"/>
      </w:pPr>
      <w:r w:rsidRPr="0076091F">
        <w:t>{CURE DE LA RÉPARATION SOUS L'EAU, NOTE 1}</w:t>
      </w:r>
    </w:p>
    <w:p w:rsidR="00115EEE" w:rsidRPr="0076091F" w:rsidRDefault="00115EEE" w:rsidP="00115EEE">
      <w:pPr>
        <w:pStyle w:val="GuideSpec"/>
      </w:pPr>
    </w:p>
    <w:p w:rsidR="00115EEE" w:rsidRPr="0076091F" w:rsidRDefault="00115EEE" w:rsidP="00115EEE">
      <w:pPr>
        <w:pStyle w:val="GuideSpec"/>
      </w:pPr>
      <w:r w:rsidRPr="0076091F">
        <w:t>2.___</w:t>
      </w:r>
      <w:r w:rsidRPr="0076091F">
        <w:tab/>
        <w:t>CURE</w:t>
      </w:r>
    </w:p>
    <w:p w:rsidR="00115EEE" w:rsidRPr="0076091F" w:rsidRDefault="00115EEE" w:rsidP="00115EEE">
      <w:pPr>
        <w:pStyle w:val="GuideSpec"/>
      </w:pPr>
    </w:p>
    <w:p w:rsidR="00115EEE" w:rsidRPr="0076091F" w:rsidRDefault="00115EEE" w:rsidP="00115EEE">
      <w:pPr>
        <w:pStyle w:val="guideNOTE"/>
      </w:pPr>
      <w:r w:rsidRPr="0076091F">
        <w:t>{Note au rédacteur : Euclid Canada suggère de faire mûrir les surfaces exposées de ce mortier de réparation à l'aide d'un produit de cure à teneur élevée en solides. Si désiré, sélectionner un produit recommandé dans la fiche technique et l'insérer ici. Il est possible d'obtenir du texte destiné aux spécifications pour ces produits en accédant à la documentation sur chaque produit dans le site Web d’Euclid. Il est important de noter que les agents de cure liquides ne sont typiquement pas compatibles avec les revêtements, adhésifs ou agents de scellement pénétrant appliqués ultérieurement. Dans le cas où ces traitements seraient envisagés, le rédacteur de devis doit insérer une spécification relative à l'utilisation d'un agent de cure dissipant à base de r</w:t>
      </w:r>
      <w:bookmarkStart w:id="0" w:name="_GoBack"/>
      <w:bookmarkEnd w:id="0"/>
      <w:r w:rsidRPr="0076091F">
        <w:t xml:space="preserve">ésine </w:t>
      </w:r>
      <w:r w:rsidRPr="0076091F">
        <w:lastRenderedPageBreak/>
        <w:t xml:space="preserve">tel KUREZ DR VOX, d'un agent de cure enlevable tel KUREZ RC, ou de méthodes de cure adéquates faisant en sorte de retenir l'humidité et satisfaisant aux recommandations citées dans le document ACI 308. Une telle cure doit durer au moins 3 jours.} </w:t>
      </w:r>
    </w:p>
    <w:p w:rsidR="00115EEE" w:rsidRPr="0076091F" w:rsidRDefault="00115EEE" w:rsidP="00115EEE">
      <w:pPr>
        <w:pStyle w:val="GuideSpec"/>
      </w:pPr>
    </w:p>
    <w:p w:rsidR="00115EEE" w:rsidRPr="0076091F" w:rsidRDefault="00115EEE" w:rsidP="00115EEE">
      <w:pPr>
        <w:pStyle w:val="GuideSpec"/>
      </w:pPr>
      <w:r w:rsidRPr="0076091F">
        <w:t>PARTIE 3 </w:t>
      </w:r>
      <w:r w:rsidRPr="0076091F">
        <w:rPr>
          <w:rFonts w:cs="Helvetica"/>
          <w:cs/>
        </w:rPr>
        <w:t>–</w:t>
      </w:r>
      <w:r w:rsidRPr="0076091F">
        <w:tab/>
        <w:t>EXÉCUTION</w:t>
      </w:r>
    </w:p>
    <w:p w:rsidR="00115EEE" w:rsidRPr="0076091F" w:rsidRDefault="00115EEE" w:rsidP="00115EEE">
      <w:pPr>
        <w:pStyle w:val="GuideSpec"/>
      </w:pPr>
    </w:p>
    <w:p w:rsidR="00115EEE" w:rsidRPr="0076091F" w:rsidRDefault="00115EEE" w:rsidP="00115EEE">
      <w:pPr>
        <w:pStyle w:val="GuideSpec"/>
      </w:pPr>
      <w:r w:rsidRPr="0076091F">
        <w:t>3.___</w:t>
      </w:r>
      <w:r w:rsidRPr="0076091F">
        <w:tab/>
        <w:t>PRÉPARATION DE LA SURFACE</w:t>
      </w:r>
    </w:p>
    <w:p w:rsidR="00115EEE" w:rsidRPr="0076091F" w:rsidRDefault="00115EEE" w:rsidP="00115EEE">
      <w:pPr>
        <w:pStyle w:val="GuideSpec"/>
      </w:pPr>
    </w:p>
    <w:p w:rsidR="00115EEE" w:rsidRPr="0076091F" w:rsidRDefault="00115EEE" w:rsidP="00115EEE">
      <w:pPr>
        <w:pStyle w:val="guideNOTE"/>
      </w:pPr>
      <w:r w:rsidRPr="0076091F">
        <w:t>{NOTE POUR L'ENLÈVEMENT DU BÉTON}</w:t>
      </w:r>
    </w:p>
    <w:p w:rsidR="00115EEE" w:rsidRPr="0076091F" w:rsidRDefault="00115EEE" w:rsidP="00115EEE">
      <w:pPr>
        <w:pStyle w:val="GuideSpec"/>
      </w:pPr>
    </w:p>
    <w:p w:rsidR="00115EEE" w:rsidRPr="0076091F" w:rsidRDefault="00115EEE" w:rsidP="00115EEE">
      <w:pPr>
        <w:pStyle w:val="A0"/>
      </w:pPr>
      <w:r w:rsidRPr="0076091F">
        <w:t>A.</w:t>
      </w:r>
      <w:r w:rsidRPr="0076091F">
        <w:tab/>
        <w:t>Enlèvement du béton : Retirer tout le béton libre ou détérioré selon la directive 310.1R de l</w:t>
      </w:r>
      <w:r w:rsidRPr="0076091F">
        <w:rPr>
          <w:rFonts w:cs="Helvetica"/>
          <w:cs/>
        </w:rPr>
        <w:t>’</w:t>
      </w:r>
      <w:r w:rsidRPr="0076091F">
        <w:t>ICRI sur les procédures de préparation des surfaces.</w:t>
      </w:r>
    </w:p>
    <w:p w:rsidR="00115EEE" w:rsidRPr="0076091F" w:rsidRDefault="00115EEE" w:rsidP="00115EEE">
      <w:pPr>
        <w:pStyle w:val="1"/>
      </w:pPr>
      <w:r w:rsidRPr="0076091F">
        <w:t>1.</w:t>
      </w:r>
      <w:r w:rsidRPr="0076091F">
        <w:tab/>
        <w:t>Une rainure doit être créée avec une scie autour des zones endommagées des surfaces de béton. La rainure doit avoir une profondeur d'au moins 13 mm (1/2 po), sauf si la scie risque d'entrer en contact avec l'acier d</w:t>
      </w:r>
      <w:r w:rsidRPr="0076091F">
        <w:rPr>
          <w:rFonts w:cs="Helvetica"/>
          <w:cs/>
        </w:rPr>
        <w:t>’</w:t>
      </w:r>
      <w:r w:rsidRPr="0076091F">
        <w:t>armature enrobé. Toutes les rainures doivent être effectuées perpendiculairement à la surface du béton. Les rainures du périmètre doivent être rectilignes et parallèles au côté opposé du périmètre de façon à obtenir une aire de réparation de forme rectangulaire.</w:t>
      </w:r>
    </w:p>
    <w:p w:rsidR="00115EEE" w:rsidRPr="0076091F" w:rsidRDefault="00115EEE" w:rsidP="00115EEE">
      <w:pPr>
        <w:pStyle w:val="1"/>
      </w:pPr>
      <w:r w:rsidRPr="0076091F">
        <w:t>2.</w:t>
      </w:r>
      <w:r w:rsidRPr="0076091F">
        <w:tab/>
        <w:t xml:space="preserve">Tout le béton de l'aire de réparation doit être retiré jusqu'à une profondeur minimale de 13 mm (1/2 po). Le profil de la surface résultante doit être adéquat pour la liaison conformément aux recommandations écrites du fabricant du mortier de réparation. S'il y a présence de délaminations, de fissures ou de matériau endommagé au-delà de la profondeur d'enlèvement minimale, il faut continuer l'enlèvement jusqu'à ce que tout le béton endommagé, délaminé ou fissuré soit retiré de la cavité. </w:t>
      </w:r>
    </w:p>
    <w:p w:rsidR="00115EEE" w:rsidRPr="0076091F" w:rsidRDefault="00115EEE" w:rsidP="00115EEE">
      <w:pPr>
        <w:pStyle w:val="GuideSpec"/>
      </w:pPr>
    </w:p>
    <w:p w:rsidR="00115EEE" w:rsidRPr="0076091F" w:rsidRDefault="00115EEE" w:rsidP="00115EEE">
      <w:pPr>
        <w:pStyle w:val="guideNOTE"/>
      </w:pPr>
      <w:r w:rsidRPr="0076091F">
        <w:t>{NOTE POUR LA PRÉPARATION ET LE NETTOYAGE DU BÉTON}</w:t>
      </w:r>
    </w:p>
    <w:p w:rsidR="00115EEE" w:rsidRPr="0076091F" w:rsidRDefault="00115EEE" w:rsidP="00115EEE">
      <w:pPr>
        <w:pStyle w:val="GuideSpec"/>
      </w:pPr>
    </w:p>
    <w:p w:rsidR="00115EEE" w:rsidRPr="0076091F" w:rsidRDefault="00115EEE" w:rsidP="00115EEE">
      <w:pPr>
        <w:pStyle w:val="A0"/>
      </w:pPr>
      <w:r w:rsidRPr="0076091F">
        <w:t>B.   Préparation et nettoyage du béton : Les surfaces qui font l'objet d'une réparation de béton doivent être en bon état sur le plan structural et exemptes de béton détérioré, de poussière, de saleté, de débris, de béton détaché, de peinture, d'huile, d'efflorescence, de laitance et d'autres contaminants. Le profil de surface du béton (CSP) doit correspondre, au minimum, à celui recommandé par le fabricant du mortier de réparation conformément à la directive 310.2 de l</w:t>
      </w:r>
      <w:r w:rsidRPr="0076091F">
        <w:rPr>
          <w:rFonts w:cs="Helvetica"/>
          <w:cs/>
        </w:rPr>
        <w:t>’</w:t>
      </w:r>
      <w:r w:rsidRPr="0076091F">
        <w:t>ICRI.</w:t>
      </w:r>
    </w:p>
    <w:p w:rsidR="00115EEE" w:rsidRPr="0076091F" w:rsidRDefault="00115EEE" w:rsidP="00115EEE">
      <w:pPr>
        <w:pStyle w:val="GuideSpec"/>
      </w:pPr>
    </w:p>
    <w:p w:rsidR="00115EEE" w:rsidRPr="0076091F" w:rsidRDefault="00115EEE" w:rsidP="00115EEE">
      <w:pPr>
        <w:pStyle w:val="GuideSpec"/>
      </w:pPr>
      <w:r w:rsidRPr="0076091F">
        <w:t>3.___</w:t>
      </w:r>
      <w:r w:rsidRPr="0076091F">
        <w:tab/>
        <w:t xml:space="preserve">APPLICATION DU MORTIER DE RÉPARATION </w:t>
      </w:r>
    </w:p>
    <w:p w:rsidR="00115EEE" w:rsidRPr="0076091F" w:rsidRDefault="00115EEE" w:rsidP="00115EEE">
      <w:pPr>
        <w:pStyle w:val="GuideSpec"/>
      </w:pPr>
    </w:p>
    <w:p w:rsidR="00115EEE" w:rsidRPr="0076091F" w:rsidRDefault="00115EEE" w:rsidP="00115EEE">
      <w:pPr>
        <w:pStyle w:val="guideNOTE"/>
      </w:pPr>
      <w:r w:rsidRPr="0076091F">
        <w:t>{APPLICATION DU MORTIER DE RÉPARATION À LA TRUELLE}</w:t>
      </w:r>
    </w:p>
    <w:p w:rsidR="00115EEE" w:rsidRPr="0076091F" w:rsidRDefault="00115EEE" w:rsidP="00115EEE">
      <w:pPr>
        <w:pStyle w:val="GuideSpec"/>
      </w:pPr>
    </w:p>
    <w:p w:rsidR="00115EEE" w:rsidRPr="0076091F" w:rsidRDefault="00115EEE" w:rsidP="00115EEE">
      <w:pPr>
        <w:pStyle w:val="A0"/>
      </w:pPr>
      <w:r w:rsidRPr="0076091F">
        <w:t>A.</w:t>
      </w:r>
      <w:r w:rsidRPr="0076091F">
        <w:tab/>
        <w:t>Application du mortier de réparation à la truelle : Malaxer et appliquer le mortier de réparation selon les recommandations du fabricant en deçà du temps limite de reprise de la couche d'accrochage du produit ou des agents de liaison. Araser au niveau de la surface de béton adjacente en utilisant les techniques recommandées par le fabricant.</w:t>
      </w:r>
    </w:p>
    <w:p w:rsidR="00115EEE" w:rsidRPr="0076091F" w:rsidRDefault="00115EEE" w:rsidP="00115EEE">
      <w:pPr>
        <w:pStyle w:val="GuideSpec"/>
      </w:pPr>
    </w:p>
    <w:p w:rsidR="00115EEE" w:rsidRPr="0076091F" w:rsidRDefault="00115EEE" w:rsidP="00115EEE">
      <w:pPr>
        <w:pStyle w:val="GuideSpec"/>
      </w:pPr>
      <w:r w:rsidRPr="0076091F">
        <w:t>3.___</w:t>
      </w:r>
      <w:r w:rsidRPr="0076091F">
        <w:tab/>
        <w:t>CURE</w:t>
      </w:r>
    </w:p>
    <w:p w:rsidR="00115EEE" w:rsidRPr="0076091F" w:rsidRDefault="00115EEE" w:rsidP="00115EEE">
      <w:pPr>
        <w:pStyle w:val="GuideSpec"/>
      </w:pPr>
    </w:p>
    <w:p w:rsidR="00115EEE" w:rsidRPr="0076091F" w:rsidRDefault="00115EEE" w:rsidP="00115EEE">
      <w:pPr>
        <w:pStyle w:val="guideNOTE"/>
      </w:pPr>
      <w:r w:rsidRPr="0076091F">
        <w:t>{CURE DU MORTIER DE RÉPARATION}</w:t>
      </w:r>
    </w:p>
    <w:p w:rsidR="006575C2" w:rsidRPr="00115EEE" w:rsidRDefault="00115EEE" w:rsidP="00115EEE">
      <w:pPr>
        <w:rPr>
          <w:lang w:val="fr-CA" w:eastAsia="fr-CA"/>
        </w:rPr>
      </w:pPr>
      <w:r w:rsidRPr="00115EEE">
        <w:rPr>
          <w:rFonts w:ascii="Helvetica" w:hAnsi="Helvetica"/>
          <w:b/>
          <w:i/>
          <w:color w:val="0070C0"/>
          <w:sz w:val="20"/>
          <w:lang w:val="fr-CA" w:eastAsia="fr-CA"/>
        </w:rPr>
        <w:t xml:space="preserve">{Note au rédacteur : Euclid Canada suggère de faire mûrir les surfaces exposées de ce mortier de réparation à l'aide d'un produit de cure à teneur élevée en solides. Si désiré, sélectionner un produit recommandé dans la fiche technique et l'insérer ici. Il est possible d'obtenir du texte destiné aux spécifications pour ces produits en accédant à la documentation sur chaque produit dans le site Web d’Euclid. Il est important de noter que les agents de cure liquides ne sont typiquement pas compatibles avec les revêtements, adhésifs ou agents de scellement pénétrant appliqués ultérieurement. Dans le cas où ces traitements seraient envisagés, le rédacteur de devis doit insérer une spécification relative à l'utilisation d'un agent de cure dissipant à base de résine tel KUREZ DR VOX, d'un agent de cure enlevable tel KUREZ RC, ou de méthodes de cure </w:t>
      </w:r>
      <w:r w:rsidRPr="00115EEE">
        <w:rPr>
          <w:rFonts w:ascii="Helvetica" w:hAnsi="Helvetica"/>
          <w:b/>
          <w:i/>
          <w:color w:val="0070C0"/>
          <w:sz w:val="20"/>
          <w:lang w:val="fr-CA" w:eastAsia="fr-CA"/>
        </w:rPr>
        <w:lastRenderedPageBreak/>
        <w:t xml:space="preserve">adéquates faisant en sorte de retenir l'humidité et satisfaisant aux recommandations citées dans le document ACI 308. Une telle cure doit durer au moins 3 jours.} </w:t>
      </w:r>
      <w:r w:rsidR="00A70449" w:rsidRPr="00115EEE">
        <w:rPr>
          <w:color w:val="0070C0"/>
          <w:lang w:val="fr-CA" w:eastAsia="fr-CA"/>
        </w:rPr>
        <w:t xml:space="preserve"> </w:t>
      </w:r>
    </w:p>
    <w:p w:rsidR="00C87AD4" w:rsidRPr="00C87AD4" w:rsidRDefault="00C87AD4" w:rsidP="00C87AD4">
      <w:pPr>
        <w:autoSpaceDE w:val="0"/>
        <w:autoSpaceDN w:val="0"/>
        <w:adjustRightInd w:val="0"/>
        <w:jc w:val="both"/>
        <w:rPr>
          <w:rFonts w:ascii="Helvetica" w:hAnsi="Helvetica"/>
          <w:b/>
          <w:i/>
          <w:color w:val="0070C0"/>
          <w:sz w:val="20"/>
        </w:rPr>
      </w:pPr>
    </w:p>
    <w:p w:rsidR="00C87AD4" w:rsidRPr="00C87AD4" w:rsidRDefault="00C87AD4" w:rsidP="00C87AD4">
      <w:pPr>
        <w:ind w:left="720" w:hanging="720"/>
        <w:rPr>
          <w:rFonts w:ascii="Helvetica" w:hAnsi="Helvetica"/>
          <w:sz w:val="20"/>
        </w:rPr>
      </w:pPr>
    </w:p>
    <w:p w:rsidR="00C87AD4" w:rsidRPr="003A01D9" w:rsidRDefault="00C87AD4" w:rsidP="00C87AD4">
      <w:pPr>
        <w:rPr>
          <w:rFonts w:ascii="Helvetica" w:hAnsi="Helvetica"/>
          <w:color w:val="000000"/>
          <w:sz w:val="20"/>
        </w:rPr>
      </w:pPr>
    </w:p>
    <w:p w:rsidR="00C87AD4" w:rsidRPr="003A01D9" w:rsidRDefault="00C87AD4" w:rsidP="00C87AD4"/>
    <w:sectPr w:rsidR="00C87AD4" w:rsidRPr="003A01D9" w:rsidSect="00E9524D">
      <w:headerReference w:type="default" r:id="rId9"/>
      <w:footerReference w:type="default" r:id="rId10"/>
      <w:headerReference w:type="first" r:id="rId11"/>
      <w:footerReference w:type="first" r:id="rId12"/>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AF7" w:rsidRDefault="00905AF7" w:rsidP="009D4E90">
      <w:r>
        <w:separator/>
      </w:r>
    </w:p>
  </w:endnote>
  <w:endnote w:type="continuationSeparator" w:id="0">
    <w:p w:rsidR="00905AF7" w:rsidRDefault="00905AF7" w:rsidP="009D4E90">
      <w:r>
        <w:continuationSeparator/>
      </w:r>
    </w:p>
  </w:endnote>
  <w:endnote w:type="continuationNotice" w:id="1">
    <w:p w:rsidR="00905AF7" w:rsidRDefault="00905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Neue">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wis721 BT">
    <w:altName w:val="Segoe Script"/>
    <w:charset w:val="00"/>
    <w:family w:val="swiss"/>
    <w:pitch w:val="variable"/>
    <w:sig w:usb0="00000001" w:usb1="1000204A" w:usb2="00000000" w:usb3="00000000" w:csb0="00000011" w:csb1="00000000"/>
  </w:font>
  <w:font w:name="Times-Roman">
    <w:altName w:val="Times New Roman"/>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905AF7" w:rsidP="00CA2CA5">
    <w:pPr>
      <w:pStyle w:val="Footer"/>
      <w:ind w:firstLine="432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CB1A78">
          <w:rPr>
            <w:noProof/>
          </w:rPr>
          <w:t>2</w:t>
        </w:r>
        <w:r w:rsidR="00396496">
          <w:rPr>
            <w:noProof/>
          </w:rPr>
          <w:fldChar w:fldCharType="end"/>
        </w:r>
        <w:r w:rsidR="00115EEE">
          <w:rPr>
            <w:noProof/>
          </w:rPr>
          <w:tab/>
        </w:r>
        <w:r w:rsidR="00115EEE">
          <w:rPr>
            <w:noProof/>
          </w:rPr>
          <w:tab/>
          <w:t>DÉCEMBRE</w:t>
        </w:r>
        <w:r w:rsidR="00CA2CA5">
          <w:rPr>
            <w:noProof/>
          </w:rPr>
          <w:t xml:space="preserve"> 201</w:t>
        </w:r>
        <w:r w:rsidR="00115EEE">
          <w:rPr>
            <w:noProof/>
          </w:rPr>
          <w:t>4</w:t>
        </w:r>
      </w:sdtContent>
    </w:sdt>
    <w:r w:rsidR="00CA2CA5">
      <w:rPr>
        <w:noProof/>
      </w:rPr>
      <w:t xml:space="preserve"> </w:t>
    </w:r>
  </w:p>
  <w:p w:rsidR="009D4E90" w:rsidRDefault="009D4E90" w:rsidP="003A01D9">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79670"/>
      <w:docPartObj>
        <w:docPartGallery w:val="Page Numbers (Bottom of Page)"/>
        <w:docPartUnique/>
      </w:docPartObj>
    </w:sdtPr>
    <w:sdtEndPr>
      <w:rPr>
        <w:noProof/>
      </w:rPr>
    </w:sdtEndPr>
    <w:sdtContent>
      <w:p w:rsidR="00CA2CA5" w:rsidRDefault="00CA2CA5" w:rsidP="00CA2CA5">
        <w:pPr>
          <w:pStyle w:val="Footer"/>
          <w:ind w:firstLine="4320"/>
        </w:pPr>
        <w:r>
          <w:fldChar w:fldCharType="begin"/>
        </w:r>
        <w:r>
          <w:instrText xml:space="preserve"> PAGE   \* MERGEFORMAT </w:instrText>
        </w:r>
        <w:r>
          <w:fldChar w:fldCharType="separate"/>
        </w:r>
        <w:r w:rsidR="00CB1A78">
          <w:rPr>
            <w:noProof/>
          </w:rPr>
          <w:t>1</w:t>
        </w:r>
        <w:r>
          <w:rPr>
            <w:noProof/>
          </w:rPr>
          <w:fldChar w:fldCharType="end"/>
        </w:r>
        <w:r>
          <w:rPr>
            <w:noProof/>
          </w:rPr>
          <w:tab/>
        </w:r>
        <w:r>
          <w:rPr>
            <w:noProof/>
          </w:rPr>
          <w:tab/>
        </w:r>
        <w:r w:rsidR="00CB1A78">
          <w:rPr>
            <w:noProof/>
          </w:rPr>
          <w:t>DÉCEMBRE</w:t>
        </w:r>
        <w:r>
          <w:rPr>
            <w:noProof/>
          </w:rPr>
          <w:t xml:space="preserve"> 201</w:t>
        </w:r>
        <w:r w:rsidR="00CB1A78">
          <w:rPr>
            <w:noProof/>
          </w:rPr>
          <w:t>4</w:t>
        </w:r>
      </w:p>
    </w:sdtContent>
  </w:sdt>
  <w:p w:rsidR="00620FB3" w:rsidRDefault="00620FB3" w:rsidP="003A01D9">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AF7" w:rsidRDefault="00905AF7" w:rsidP="009D4E90">
      <w:r>
        <w:separator/>
      </w:r>
    </w:p>
  </w:footnote>
  <w:footnote w:type="continuationSeparator" w:id="0">
    <w:p w:rsidR="00905AF7" w:rsidRDefault="00905AF7" w:rsidP="009D4E90">
      <w:r>
        <w:continuationSeparator/>
      </w:r>
    </w:p>
  </w:footnote>
  <w:footnote w:type="continuationNotice" w:id="1">
    <w:p w:rsidR="00905AF7" w:rsidRDefault="00905A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Pr="003A01D9" w:rsidRDefault="00560FB2" w:rsidP="003A01D9">
    <w:pPr>
      <w:pStyle w:val="Header"/>
      <w:tabs>
        <w:tab w:val="clear" w:pos="9360"/>
        <w:tab w:val="right" w:pos="10800"/>
      </w:tabs>
      <w:ind w:left="-1440"/>
      <w:jc w:val="center"/>
    </w:pPr>
  </w:p>
  <w:p w:rsidR="009D4E90" w:rsidRPr="003A01D9" w:rsidRDefault="005A2113" w:rsidP="003A01D9">
    <w:pPr>
      <w:pStyle w:val="Header"/>
      <w:tabs>
        <w:tab w:val="clear" w:pos="9360"/>
        <w:tab w:val="right" w:pos="10800"/>
      </w:tabs>
      <w:ind w:left="-1440"/>
      <w:jc w:val="center"/>
    </w:pPr>
    <w:r>
      <w:rPr>
        <w:noProof/>
        <w:lang w:val="en-CA" w:eastAsia="en-CA"/>
      </w:rPr>
      <w:drawing>
        <wp:anchor distT="0" distB="0" distL="114300" distR="114300" simplePos="0" relativeHeight="251658240" behindDoc="1" locked="0" layoutInCell="1" allowOverlap="1" wp14:anchorId="16A1510B" wp14:editId="45AECAE5">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AA20C3">
    <w:pPr>
      <w:pStyle w:val="Header"/>
    </w:pPr>
    <w:r>
      <w:rPr>
        <w:noProof/>
        <w:lang w:val="en-CA" w:eastAsia="en-CA"/>
      </w:rPr>
      <w:drawing>
        <wp:anchor distT="0" distB="0" distL="114300" distR="114300" simplePos="0" relativeHeight="251659264" behindDoc="0" locked="0" layoutInCell="1" allowOverlap="1">
          <wp:simplePos x="0" y="0"/>
          <wp:positionH relativeFrom="column">
            <wp:posOffset>-965916</wp:posOffset>
          </wp:positionH>
          <wp:positionV relativeFrom="paragraph">
            <wp:posOffset>134799</wp:posOffset>
          </wp:positionV>
          <wp:extent cx="7761605" cy="1054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 Euclid Canad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1605" cy="1054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5C44FA0"/>
    <w:multiLevelType w:val="hybridMultilevel"/>
    <w:tmpl w:val="E550E5A4"/>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C40B5D"/>
    <w:multiLevelType w:val="hybridMultilevel"/>
    <w:tmpl w:val="EAE4EB3E"/>
    <w:lvl w:ilvl="0" w:tplc="E2F204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AF729D"/>
    <w:multiLevelType w:val="hybridMultilevel"/>
    <w:tmpl w:val="6EBA6B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14C32EAE"/>
    <w:multiLevelType w:val="hybridMultilevel"/>
    <w:tmpl w:val="9DF441B0"/>
    <w:lvl w:ilvl="0" w:tplc="F7C4CA4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1359F6"/>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8687E1D"/>
    <w:multiLevelType w:val="hybridMultilevel"/>
    <w:tmpl w:val="88B634AE"/>
    <w:lvl w:ilvl="0" w:tplc="F7C4CA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9476766"/>
    <w:multiLevelType w:val="hybridMultilevel"/>
    <w:tmpl w:val="6EC4B4D4"/>
    <w:lvl w:ilvl="0" w:tplc="3606FE90">
      <w:start w:val="3"/>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1CF104BE"/>
    <w:multiLevelType w:val="hybridMultilevel"/>
    <w:tmpl w:val="1B7254FA"/>
    <w:lvl w:ilvl="0" w:tplc="DADA6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BDF3E72"/>
    <w:multiLevelType w:val="multilevel"/>
    <w:tmpl w:val="5E1853BE"/>
    <w:lvl w:ilvl="0">
      <w:start w:val="1"/>
      <w:numFmt w:val="decimal"/>
      <w:lvlRestart w:val="0"/>
      <w:pStyle w:val="Level1"/>
      <w:lvlText w:val="PART %1"/>
      <w:lvlJc w:val="left"/>
      <w:pPr>
        <w:tabs>
          <w:tab w:val="num" w:pos="1440"/>
        </w:tabs>
        <w:ind w:left="1440" w:hanging="1440"/>
      </w:pPr>
      <w:rPr>
        <w:rFonts w:ascii="Arial" w:hAnsi="Arial" w:hint="default"/>
        <w:b w:val="0"/>
        <w:i w:val="0"/>
        <w:sz w:val="24"/>
        <w:szCs w:val="20"/>
      </w:rPr>
    </w:lvl>
    <w:lvl w:ilvl="1">
      <w:start w:val="1"/>
      <w:numFmt w:val="decimalZero"/>
      <w:pStyle w:val="Level2"/>
      <w:lvlText w:val="%1.%2"/>
      <w:lvlJc w:val="left"/>
      <w:pPr>
        <w:tabs>
          <w:tab w:val="num" w:pos="720"/>
        </w:tabs>
        <w:ind w:left="720" w:hanging="720"/>
      </w:pPr>
      <w:rPr>
        <w:rFonts w:ascii="Times New Roman" w:hAnsi="Times New Roman" w:cs="Times New Roman" w:hint="default"/>
        <w:sz w:val="24"/>
      </w:rPr>
    </w:lvl>
    <w:lvl w:ilvl="2">
      <w:start w:val="1"/>
      <w:numFmt w:val="upperLetter"/>
      <w:pStyle w:val="Level3"/>
      <w:lvlText w:val="%3."/>
      <w:lvlJc w:val="left"/>
      <w:pPr>
        <w:tabs>
          <w:tab w:val="num" w:pos="720"/>
        </w:tabs>
        <w:ind w:left="720" w:hanging="518"/>
      </w:pPr>
      <w:rPr>
        <w:rFonts w:ascii="Times New Roman" w:hAnsi="Times New Roman" w:hint="default"/>
        <w:strike w:val="0"/>
        <w:sz w:val="24"/>
      </w:rPr>
    </w:lvl>
    <w:lvl w:ilvl="3">
      <w:start w:val="1"/>
      <w:numFmt w:val="decimal"/>
      <w:pStyle w:val="Level4"/>
      <w:lvlText w:val="%4."/>
      <w:lvlJc w:val="left"/>
      <w:pPr>
        <w:tabs>
          <w:tab w:val="num" w:pos="1440"/>
        </w:tabs>
        <w:ind w:left="1440" w:hanging="720"/>
      </w:pPr>
      <w:rPr>
        <w:rFonts w:ascii="Times New Roman" w:hAnsi="Times New Roman" w:hint="default"/>
        <w:strike w:val="0"/>
        <w:dstrike w:val="0"/>
        <w:sz w:val="24"/>
      </w:rPr>
    </w:lvl>
    <w:lvl w:ilvl="4">
      <w:start w:val="1"/>
      <w:numFmt w:val="lowerLetter"/>
      <w:pStyle w:val="Level5"/>
      <w:lvlText w:val="%5."/>
      <w:lvlJc w:val="left"/>
      <w:pPr>
        <w:tabs>
          <w:tab w:val="num" w:pos="2160"/>
        </w:tabs>
        <w:ind w:left="2160" w:hanging="720"/>
      </w:pPr>
      <w:rPr>
        <w:rFonts w:ascii="Times New Roman" w:eastAsia="Times New Roman" w:hAnsi="Times New Roman" w:cs="Times New Roman" w:hint="default"/>
        <w:sz w:val="24"/>
      </w:rPr>
    </w:lvl>
    <w:lvl w:ilvl="5">
      <w:start w:val="1"/>
      <w:numFmt w:val="decimal"/>
      <w:pStyle w:val="Level6"/>
      <w:lvlText w:val="%6)"/>
      <w:lvlJc w:val="left"/>
      <w:pPr>
        <w:tabs>
          <w:tab w:val="num" w:pos="2880"/>
        </w:tabs>
        <w:ind w:left="2880" w:hanging="720"/>
      </w:pPr>
      <w:rPr>
        <w:rFonts w:ascii="Times New Roman" w:hAnsi="Times New Roman" w:hint="default"/>
        <w:sz w:val="24"/>
      </w:rPr>
    </w:lvl>
    <w:lvl w:ilvl="6">
      <w:start w:val="1"/>
      <w:numFmt w:val="lowerLetter"/>
      <w:pStyle w:val="Level7"/>
      <w:lvlText w:val="%7)"/>
      <w:lvlJc w:val="left"/>
      <w:pPr>
        <w:tabs>
          <w:tab w:val="num" w:pos="3600"/>
        </w:tabs>
        <w:ind w:left="3600" w:hanging="720"/>
      </w:pPr>
      <w:rPr>
        <w:rFonts w:ascii="Times New Roman" w:hAnsi="Times New Roman" w:hint="default"/>
        <w:sz w:val="24"/>
      </w:rPr>
    </w:lvl>
    <w:lvl w:ilvl="7">
      <w:start w:val="1"/>
      <w:numFmt w:val="decimal"/>
      <w:pStyle w:val="Level8"/>
      <w:lvlText w:val="(%8)"/>
      <w:lvlJc w:val="left"/>
      <w:pPr>
        <w:tabs>
          <w:tab w:val="num" w:pos="4320"/>
        </w:tabs>
        <w:ind w:left="4320" w:hanging="720"/>
      </w:pPr>
      <w:rPr>
        <w:rFonts w:ascii="Times New Roman" w:hAnsi="Times New Roman" w:hint="default"/>
        <w:sz w:val="24"/>
      </w:rPr>
    </w:lvl>
    <w:lvl w:ilvl="8">
      <w:start w:val="1"/>
      <w:numFmt w:val="lowerLetter"/>
      <w:pStyle w:val="Level9"/>
      <w:lvlText w:val="(%9)"/>
      <w:lvlJc w:val="left"/>
      <w:pPr>
        <w:tabs>
          <w:tab w:val="num" w:pos="5040"/>
        </w:tabs>
        <w:ind w:left="5040" w:hanging="720"/>
      </w:pPr>
      <w:rPr>
        <w:rFonts w:ascii="Times New Roman" w:hAnsi="Times New Roman" w:hint="default"/>
        <w:sz w:val="24"/>
      </w:rPr>
    </w:lvl>
  </w:abstractNum>
  <w:abstractNum w:abstractNumId="13">
    <w:nsid w:val="2C707E1E"/>
    <w:multiLevelType w:val="hybridMultilevel"/>
    <w:tmpl w:val="FB72C8F0"/>
    <w:lvl w:ilvl="0" w:tplc="90EAFB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DB7FBA"/>
    <w:multiLevelType w:val="hybridMultilevel"/>
    <w:tmpl w:val="E8C8E53A"/>
    <w:lvl w:ilvl="0" w:tplc="E0DA8BA6">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nsid w:val="36FC1709"/>
    <w:multiLevelType w:val="hybridMultilevel"/>
    <w:tmpl w:val="88B634A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58B8501E"/>
    <w:multiLevelType w:val="hybridMultilevel"/>
    <w:tmpl w:val="D2E2ADFE"/>
    <w:lvl w:ilvl="0" w:tplc="8A0C7B6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105DD1"/>
    <w:multiLevelType w:val="hybridMultilevel"/>
    <w:tmpl w:val="DE9212AC"/>
    <w:lvl w:ilvl="0" w:tplc="1548ADE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D704B70"/>
    <w:multiLevelType w:val="hybridMultilevel"/>
    <w:tmpl w:val="CAD042AC"/>
    <w:lvl w:ilvl="0" w:tplc="D09CB1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50702F1"/>
    <w:multiLevelType w:val="hybridMultilevel"/>
    <w:tmpl w:val="9FE23D42"/>
    <w:lvl w:ilvl="0" w:tplc="10666B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6A170D7"/>
    <w:multiLevelType w:val="hybridMultilevel"/>
    <w:tmpl w:val="500C3FBE"/>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0A9511B"/>
    <w:multiLevelType w:val="multilevel"/>
    <w:tmpl w:val="11900BC8"/>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cs="Times New Roman" w:hint="default"/>
      </w:rPr>
    </w:lvl>
    <w:lvl w:ilvl="5">
      <w:start w:val="1"/>
      <w:numFmt w:val="decimal"/>
      <w:lvlText w:val="%6."/>
      <w:lvlJc w:val="left"/>
      <w:pPr>
        <w:tabs>
          <w:tab w:val="num" w:pos="1440"/>
        </w:tabs>
        <w:ind w:left="1440"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4">
    <w:nsid w:val="74F528C5"/>
    <w:multiLevelType w:val="hybridMultilevel"/>
    <w:tmpl w:val="80E41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5D77796"/>
    <w:multiLevelType w:val="hybridMultilevel"/>
    <w:tmpl w:val="2DAC92C8"/>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FE00994"/>
    <w:multiLevelType w:val="hybridMultilevel"/>
    <w:tmpl w:val="3AFC206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5"/>
  </w:num>
  <w:num w:numId="2">
    <w:abstractNumId w:val="17"/>
  </w:num>
  <w:num w:numId="3">
    <w:abstractNumId w:val="0"/>
  </w:num>
  <w:num w:numId="4">
    <w:abstractNumId w:val="10"/>
  </w:num>
  <w:num w:numId="5">
    <w:abstractNumId w:val="5"/>
  </w:num>
  <w:num w:numId="6">
    <w:abstractNumId w:val="22"/>
  </w:num>
  <w:num w:numId="7">
    <w:abstractNumId w:val="11"/>
  </w:num>
  <w:num w:numId="8">
    <w:abstractNumId w:val="6"/>
  </w:num>
  <w:num w:numId="9">
    <w:abstractNumId w:val="4"/>
  </w:num>
  <w:num w:numId="10">
    <w:abstractNumId w:val="3"/>
  </w:num>
  <w:num w:numId="11">
    <w:abstractNumId w:val="19"/>
  </w:num>
  <w:num w:numId="12">
    <w:abstractNumId w:val="26"/>
  </w:num>
  <w:num w:numId="13">
    <w:abstractNumId w:val="21"/>
  </w:num>
  <w:num w:numId="14">
    <w:abstractNumId w:val="8"/>
  </w:num>
  <w:num w:numId="15">
    <w:abstractNumId w:val="2"/>
  </w:num>
  <w:num w:numId="16">
    <w:abstractNumId w:val="9"/>
  </w:num>
  <w:num w:numId="17">
    <w:abstractNumId w:val="23"/>
  </w:num>
  <w:num w:numId="18">
    <w:abstractNumId w:val="20"/>
  </w:num>
  <w:num w:numId="19">
    <w:abstractNumId w:val="13"/>
  </w:num>
  <w:num w:numId="20">
    <w:abstractNumId w:val="12"/>
  </w:num>
  <w:num w:numId="21">
    <w:abstractNumId w:val="14"/>
  </w:num>
  <w:num w:numId="22">
    <w:abstractNumId w:val="18"/>
  </w:num>
  <w:num w:numId="23">
    <w:abstractNumId w:val="24"/>
  </w:num>
  <w:num w:numId="24">
    <w:abstractNumId w:val="25"/>
  </w:num>
  <w:num w:numId="25">
    <w:abstractNumId w:val="16"/>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88"/>
    <w:rsid w:val="0000081A"/>
    <w:rsid w:val="00003A6D"/>
    <w:rsid w:val="00012095"/>
    <w:rsid w:val="00012104"/>
    <w:rsid w:val="0002125B"/>
    <w:rsid w:val="000332FD"/>
    <w:rsid w:val="000344EC"/>
    <w:rsid w:val="00040045"/>
    <w:rsid w:val="00044A2F"/>
    <w:rsid w:val="00060AE9"/>
    <w:rsid w:val="000646EE"/>
    <w:rsid w:val="00091FEE"/>
    <w:rsid w:val="00096472"/>
    <w:rsid w:val="000A4219"/>
    <w:rsid w:val="000B09F5"/>
    <w:rsid w:val="000B2178"/>
    <w:rsid w:val="000C07B7"/>
    <w:rsid w:val="000C2924"/>
    <w:rsid w:val="000D3E8E"/>
    <w:rsid w:val="0010539E"/>
    <w:rsid w:val="00105836"/>
    <w:rsid w:val="001059C5"/>
    <w:rsid w:val="00115EEE"/>
    <w:rsid w:val="00135925"/>
    <w:rsid w:val="00142DB6"/>
    <w:rsid w:val="00166075"/>
    <w:rsid w:val="001759DF"/>
    <w:rsid w:val="00175AD4"/>
    <w:rsid w:val="00193F92"/>
    <w:rsid w:val="001A404A"/>
    <w:rsid w:val="001C61EF"/>
    <w:rsid w:val="001C6E84"/>
    <w:rsid w:val="001D4AA7"/>
    <w:rsid w:val="001D5CA3"/>
    <w:rsid w:val="001E2CD7"/>
    <w:rsid w:val="001F1DA2"/>
    <w:rsid w:val="001F34CC"/>
    <w:rsid w:val="00206E10"/>
    <w:rsid w:val="0025198A"/>
    <w:rsid w:val="00274B03"/>
    <w:rsid w:val="002766BC"/>
    <w:rsid w:val="00282CCD"/>
    <w:rsid w:val="00284175"/>
    <w:rsid w:val="0029048B"/>
    <w:rsid w:val="002D64B0"/>
    <w:rsid w:val="002E3780"/>
    <w:rsid w:val="002E6938"/>
    <w:rsid w:val="002F31E7"/>
    <w:rsid w:val="002F599D"/>
    <w:rsid w:val="00320A9C"/>
    <w:rsid w:val="003319C1"/>
    <w:rsid w:val="0036417C"/>
    <w:rsid w:val="00380F81"/>
    <w:rsid w:val="003943FF"/>
    <w:rsid w:val="00396496"/>
    <w:rsid w:val="0039711C"/>
    <w:rsid w:val="003A01D9"/>
    <w:rsid w:val="003A1726"/>
    <w:rsid w:val="003D0CB8"/>
    <w:rsid w:val="003E7EDE"/>
    <w:rsid w:val="003F7BFA"/>
    <w:rsid w:val="00413572"/>
    <w:rsid w:val="00443692"/>
    <w:rsid w:val="00452A3D"/>
    <w:rsid w:val="004A1BAC"/>
    <w:rsid w:val="004A345B"/>
    <w:rsid w:val="004C2992"/>
    <w:rsid w:val="004E3C3E"/>
    <w:rsid w:val="004E6C26"/>
    <w:rsid w:val="004E71A4"/>
    <w:rsid w:val="004F00D1"/>
    <w:rsid w:val="004F4464"/>
    <w:rsid w:val="00504563"/>
    <w:rsid w:val="00513B58"/>
    <w:rsid w:val="00527300"/>
    <w:rsid w:val="00532A39"/>
    <w:rsid w:val="005465DD"/>
    <w:rsid w:val="0055387C"/>
    <w:rsid w:val="0055413F"/>
    <w:rsid w:val="005601F3"/>
    <w:rsid w:val="00560FB2"/>
    <w:rsid w:val="00576ED8"/>
    <w:rsid w:val="00595FA1"/>
    <w:rsid w:val="005A2113"/>
    <w:rsid w:val="005A5116"/>
    <w:rsid w:val="005A5C99"/>
    <w:rsid w:val="005B3895"/>
    <w:rsid w:val="005B5A34"/>
    <w:rsid w:val="005D2246"/>
    <w:rsid w:val="005D39DF"/>
    <w:rsid w:val="005D6DAA"/>
    <w:rsid w:val="005E6160"/>
    <w:rsid w:val="005F4C54"/>
    <w:rsid w:val="00620FB3"/>
    <w:rsid w:val="00642A21"/>
    <w:rsid w:val="006462C2"/>
    <w:rsid w:val="006575C2"/>
    <w:rsid w:val="00671E12"/>
    <w:rsid w:val="00672940"/>
    <w:rsid w:val="0067294F"/>
    <w:rsid w:val="006C4DE2"/>
    <w:rsid w:val="006E22F1"/>
    <w:rsid w:val="006E4288"/>
    <w:rsid w:val="00703770"/>
    <w:rsid w:val="00703BA6"/>
    <w:rsid w:val="0072544D"/>
    <w:rsid w:val="007411DF"/>
    <w:rsid w:val="0074760D"/>
    <w:rsid w:val="00750559"/>
    <w:rsid w:val="00755167"/>
    <w:rsid w:val="00757DD0"/>
    <w:rsid w:val="007763FA"/>
    <w:rsid w:val="007A5A56"/>
    <w:rsid w:val="007D10A9"/>
    <w:rsid w:val="007D2AAA"/>
    <w:rsid w:val="00803A92"/>
    <w:rsid w:val="00807AEB"/>
    <w:rsid w:val="00840015"/>
    <w:rsid w:val="00855D46"/>
    <w:rsid w:val="00884941"/>
    <w:rsid w:val="008B186B"/>
    <w:rsid w:val="008C7CE8"/>
    <w:rsid w:val="008D24DB"/>
    <w:rsid w:val="008D6EC0"/>
    <w:rsid w:val="008E77EE"/>
    <w:rsid w:val="00901F2B"/>
    <w:rsid w:val="00903173"/>
    <w:rsid w:val="00905AF7"/>
    <w:rsid w:val="009134B7"/>
    <w:rsid w:val="00930689"/>
    <w:rsid w:val="00953C43"/>
    <w:rsid w:val="00963A6D"/>
    <w:rsid w:val="009946CE"/>
    <w:rsid w:val="009A2FB7"/>
    <w:rsid w:val="009C2364"/>
    <w:rsid w:val="009D1A4C"/>
    <w:rsid w:val="009D4E90"/>
    <w:rsid w:val="009D6F43"/>
    <w:rsid w:val="009E70C0"/>
    <w:rsid w:val="009F3857"/>
    <w:rsid w:val="00A1221D"/>
    <w:rsid w:val="00A131E4"/>
    <w:rsid w:val="00A153AC"/>
    <w:rsid w:val="00A35E4A"/>
    <w:rsid w:val="00A41FA2"/>
    <w:rsid w:val="00A70449"/>
    <w:rsid w:val="00A7329A"/>
    <w:rsid w:val="00A90D4D"/>
    <w:rsid w:val="00A96DA9"/>
    <w:rsid w:val="00AA20C3"/>
    <w:rsid w:val="00AC2D20"/>
    <w:rsid w:val="00AD2988"/>
    <w:rsid w:val="00AE2032"/>
    <w:rsid w:val="00AE6310"/>
    <w:rsid w:val="00B2663A"/>
    <w:rsid w:val="00B36F4D"/>
    <w:rsid w:val="00B40D67"/>
    <w:rsid w:val="00B525B9"/>
    <w:rsid w:val="00B535B4"/>
    <w:rsid w:val="00B56496"/>
    <w:rsid w:val="00B606DB"/>
    <w:rsid w:val="00B61909"/>
    <w:rsid w:val="00B827A5"/>
    <w:rsid w:val="00B95DD1"/>
    <w:rsid w:val="00BA2FED"/>
    <w:rsid w:val="00BA52E6"/>
    <w:rsid w:val="00BA53E2"/>
    <w:rsid w:val="00BA587A"/>
    <w:rsid w:val="00BA6550"/>
    <w:rsid w:val="00BC4988"/>
    <w:rsid w:val="00BF041E"/>
    <w:rsid w:val="00BF6AB0"/>
    <w:rsid w:val="00BF6EC0"/>
    <w:rsid w:val="00C05F98"/>
    <w:rsid w:val="00C12A8B"/>
    <w:rsid w:val="00C156A0"/>
    <w:rsid w:val="00C1629D"/>
    <w:rsid w:val="00C260E5"/>
    <w:rsid w:val="00C32A28"/>
    <w:rsid w:val="00C61C73"/>
    <w:rsid w:val="00C77556"/>
    <w:rsid w:val="00C87AD4"/>
    <w:rsid w:val="00CA2CA5"/>
    <w:rsid w:val="00CB1A78"/>
    <w:rsid w:val="00CB314C"/>
    <w:rsid w:val="00CB6A08"/>
    <w:rsid w:val="00CC4E1A"/>
    <w:rsid w:val="00CD3E8A"/>
    <w:rsid w:val="00CD551D"/>
    <w:rsid w:val="00CD78FE"/>
    <w:rsid w:val="00D008C6"/>
    <w:rsid w:val="00D00B18"/>
    <w:rsid w:val="00D566F8"/>
    <w:rsid w:val="00D67989"/>
    <w:rsid w:val="00D74A84"/>
    <w:rsid w:val="00D75174"/>
    <w:rsid w:val="00D808D9"/>
    <w:rsid w:val="00D81FED"/>
    <w:rsid w:val="00DB01D0"/>
    <w:rsid w:val="00DC1BBF"/>
    <w:rsid w:val="00DD58E0"/>
    <w:rsid w:val="00E113C9"/>
    <w:rsid w:val="00E251FB"/>
    <w:rsid w:val="00E31B8D"/>
    <w:rsid w:val="00E323FD"/>
    <w:rsid w:val="00E50DF0"/>
    <w:rsid w:val="00E620CB"/>
    <w:rsid w:val="00E6247B"/>
    <w:rsid w:val="00E713F8"/>
    <w:rsid w:val="00E76523"/>
    <w:rsid w:val="00E765B1"/>
    <w:rsid w:val="00E77794"/>
    <w:rsid w:val="00E87799"/>
    <w:rsid w:val="00E9524D"/>
    <w:rsid w:val="00E97826"/>
    <w:rsid w:val="00EC5B10"/>
    <w:rsid w:val="00EE23CA"/>
    <w:rsid w:val="00EF4914"/>
    <w:rsid w:val="00EF6430"/>
    <w:rsid w:val="00F163CE"/>
    <w:rsid w:val="00F61B32"/>
    <w:rsid w:val="00F85646"/>
    <w:rsid w:val="00FC560C"/>
    <w:rsid w:val="00FD6340"/>
    <w:rsid w:val="00FE0CFF"/>
    <w:rsid w:val="00FF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E7FC59-47A1-4EE4-88E1-5D62D892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24D"/>
    <w:rPr>
      <w:rFonts w:ascii="Arial" w:eastAsia="Times New Roman" w:hAnsi="Arial" w:cs="Times New Roman"/>
      <w:sz w:val="24"/>
      <w:szCs w:val="20"/>
    </w:rPr>
  </w:style>
  <w:style w:type="paragraph" w:styleId="Heading1">
    <w:name w:val="heading 1"/>
    <w:basedOn w:val="Normal"/>
    <w:next w:val="Normal"/>
    <w:link w:val="Heading1Char"/>
    <w:qFormat/>
    <w:rsid w:val="00E9524D"/>
    <w:pPr>
      <w:keepNext/>
      <w:spacing w:before="240" w:after="60"/>
      <w:outlineLvl w:val="0"/>
    </w:pPr>
    <w:rPr>
      <w:rFonts w:ascii="Helvetica" w:hAnsi="Helvetica"/>
      <w:b/>
      <w:kern w:val="32"/>
      <w:sz w:val="32"/>
      <w:szCs w:val="24"/>
    </w:rPr>
  </w:style>
  <w:style w:type="paragraph" w:styleId="Heading2">
    <w:name w:val="heading 2"/>
    <w:basedOn w:val="Normal"/>
    <w:next w:val="Normal"/>
    <w:link w:val="Heading2Char"/>
    <w:qFormat/>
    <w:rsid w:val="00E9524D"/>
    <w:pPr>
      <w:keepNext/>
      <w:ind w:left="-900"/>
      <w:outlineLvl w:val="1"/>
    </w:pPr>
    <w:rPr>
      <w:rFonts w:ascii="HelveticaNeue" w:hAnsi="HelveticaNeue"/>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rsid w:val="009D4E90"/>
  </w:style>
  <w:style w:type="paragraph" w:styleId="Footer">
    <w:name w:val="footer"/>
    <w:basedOn w:val="Normal"/>
    <w:link w:val="FooterChar"/>
    <w:uiPriority w:val="99"/>
    <w:unhideWhenUsed/>
    <w:rsid w:val="00E9524D"/>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nhideWhenUsed/>
    <w:rsid w:val="00E9524D"/>
    <w:rPr>
      <w:rFonts w:ascii="Tahoma" w:eastAsiaTheme="minorHAnsi" w:hAnsi="Tahoma" w:cs="Tahoma"/>
      <w:sz w:val="16"/>
      <w:szCs w:val="16"/>
    </w:rPr>
  </w:style>
  <w:style w:type="character" w:customStyle="1" w:styleId="BalloonTextChar">
    <w:name w:val="Balloon Text Char"/>
    <w:basedOn w:val="DefaultParagraphFont"/>
    <w:link w:val="BalloonText"/>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rsid w:val="00E9524D"/>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rsid w:val="00E9524D"/>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rsid w:val="00E9524D"/>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rsid w:val="00E9524D"/>
    <w:pPr>
      <w:numPr>
        <w:ilvl w:val="5"/>
        <w:numId w:val="3"/>
      </w:numPr>
      <w:suppressAutoHyphens/>
      <w:jc w:val="both"/>
      <w:outlineLvl w:val="3"/>
    </w:pPr>
    <w:rPr>
      <w:rFonts w:ascii="Times New Roman" w:hAnsi="Times New Roman"/>
      <w:sz w:val="22"/>
    </w:rPr>
  </w:style>
  <w:style w:type="paragraph" w:customStyle="1" w:styleId="PR3">
    <w:name w:val="PR3"/>
    <w:basedOn w:val="Normal"/>
    <w:rsid w:val="00E9524D"/>
    <w:pPr>
      <w:numPr>
        <w:ilvl w:val="6"/>
        <w:numId w:val="3"/>
      </w:numPr>
      <w:suppressAutoHyphens/>
      <w:jc w:val="both"/>
      <w:outlineLvl w:val="4"/>
    </w:pPr>
    <w:rPr>
      <w:rFonts w:ascii="Times New Roman" w:hAnsi="Times New Roman"/>
      <w:sz w:val="22"/>
    </w:rPr>
  </w:style>
  <w:style w:type="paragraph" w:customStyle="1" w:styleId="PR4">
    <w:name w:val="PR4"/>
    <w:basedOn w:val="Normal"/>
    <w:rsid w:val="00E9524D"/>
    <w:pPr>
      <w:numPr>
        <w:ilvl w:val="7"/>
        <w:numId w:val="3"/>
      </w:numPr>
      <w:suppressAutoHyphens/>
      <w:jc w:val="both"/>
      <w:outlineLvl w:val="5"/>
    </w:pPr>
    <w:rPr>
      <w:rFonts w:ascii="Times New Roman" w:hAnsi="Times New Roman"/>
      <w:sz w:val="22"/>
    </w:rPr>
  </w:style>
  <w:style w:type="paragraph" w:customStyle="1" w:styleId="PR5">
    <w:name w:val="PR5"/>
    <w:basedOn w:val="Normal"/>
    <w:rsid w:val="00E9524D"/>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locked/>
    <w:rsid w:val="00C32A28"/>
    <w:rPr>
      <w:rFonts w:ascii="Times New Roman" w:eastAsia="Times New Roman" w:hAnsi="Times New Roman" w:cs="Times New Roman"/>
      <w:sz w:val="22"/>
      <w:szCs w:val="20"/>
    </w:rPr>
  </w:style>
  <w:style w:type="character" w:customStyle="1" w:styleId="Heading1Char">
    <w:name w:val="Heading 1 Char"/>
    <w:basedOn w:val="DefaultParagraphFont"/>
    <w:link w:val="Heading1"/>
    <w:rsid w:val="00E9524D"/>
    <w:rPr>
      <w:rFonts w:ascii="Helvetica" w:eastAsia="Times New Roman" w:hAnsi="Helvetica" w:cs="Times New Roman"/>
      <w:b/>
      <w:kern w:val="32"/>
      <w:sz w:val="32"/>
      <w:szCs w:val="24"/>
    </w:rPr>
  </w:style>
  <w:style w:type="character" w:customStyle="1" w:styleId="Heading2Char">
    <w:name w:val="Heading 2 Char"/>
    <w:basedOn w:val="DefaultParagraphFont"/>
    <w:link w:val="Heading2"/>
    <w:rsid w:val="00E9524D"/>
    <w:rPr>
      <w:rFonts w:ascii="HelveticaNeue" w:eastAsia="Times New Roman" w:hAnsi="HelveticaNeue" w:cs="Times New Roman"/>
      <w:sz w:val="28"/>
      <w:szCs w:val="24"/>
    </w:rPr>
  </w:style>
  <w:style w:type="paragraph" w:customStyle="1" w:styleId="NormalParagraphStyle">
    <w:name w:val="NormalParagraphStyle"/>
    <w:basedOn w:val="Normal"/>
    <w:rsid w:val="00E9524D"/>
    <w:pPr>
      <w:widowControl w:val="0"/>
      <w:autoSpaceDE w:val="0"/>
      <w:autoSpaceDN w:val="0"/>
      <w:adjustRightInd w:val="0"/>
      <w:spacing w:line="288" w:lineRule="auto"/>
      <w:textAlignment w:val="center"/>
    </w:pPr>
    <w:rPr>
      <w:rFonts w:ascii="Times-Roman" w:hAnsi="Times-Roman"/>
      <w:color w:val="000000"/>
      <w:szCs w:val="24"/>
    </w:rPr>
  </w:style>
  <w:style w:type="paragraph" w:styleId="DocumentMap">
    <w:name w:val="Document Map"/>
    <w:basedOn w:val="Normal"/>
    <w:link w:val="DocumentMapChar"/>
    <w:semiHidden/>
    <w:rsid w:val="00E9524D"/>
    <w:pPr>
      <w:shd w:val="clear" w:color="auto" w:fill="000080"/>
    </w:pPr>
    <w:rPr>
      <w:rFonts w:ascii="Helvetica" w:eastAsia="MS Gothic" w:hAnsi="Helvetica"/>
      <w:szCs w:val="24"/>
    </w:rPr>
  </w:style>
  <w:style w:type="character" w:customStyle="1" w:styleId="DocumentMapChar">
    <w:name w:val="Document Map Char"/>
    <w:basedOn w:val="DefaultParagraphFont"/>
    <w:link w:val="DocumentMap"/>
    <w:semiHidden/>
    <w:rsid w:val="00E9524D"/>
    <w:rPr>
      <w:rFonts w:ascii="Helvetica" w:eastAsia="MS Gothic" w:hAnsi="Helvetica" w:cs="Times New Roman"/>
      <w:sz w:val="24"/>
      <w:szCs w:val="24"/>
      <w:shd w:val="clear" w:color="auto" w:fill="000080"/>
    </w:rPr>
  </w:style>
  <w:style w:type="paragraph" w:styleId="BodyText">
    <w:name w:val="Body Text"/>
    <w:basedOn w:val="Normal"/>
    <w:link w:val="BodyTextChar"/>
    <w:rsid w:val="00E9524D"/>
    <w:pPr>
      <w:widowControl w:val="0"/>
      <w:jc w:val="both"/>
    </w:pPr>
    <w:rPr>
      <w:rFonts w:ascii="Century" w:hAnsi="Century"/>
      <w:snapToGrid w:val="0"/>
      <w:szCs w:val="24"/>
    </w:rPr>
  </w:style>
  <w:style w:type="character" w:customStyle="1" w:styleId="BodyTextChar">
    <w:name w:val="Body Text Char"/>
    <w:basedOn w:val="DefaultParagraphFont"/>
    <w:link w:val="BodyText"/>
    <w:rsid w:val="00E9524D"/>
    <w:rPr>
      <w:rFonts w:ascii="Century" w:eastAsia="Times New Roman" w:hAnsi="Century" w:cs="Times New Roman"/>
      <w:snapToGrid w:val="0"/>
      <w:sz w:val="24"/>
      <w:szCs w:val="24"/>
    </w:rPr>
  </w:style>
  <w:style w:type="paragraph" w:styleId="ListParagraph">
    <w:name w:val="List Paragraph"/>
    <w:basedOn w:val="Normal"/>
    <w:uiPriority w:val="34"/>
    <w:qFormat/>
    <w:rsid w:val="00E9524D"/>
    <w:pPr>
      <w:ind w:left="720"/>
      <w:contextualSpacing/>
    </w:pPr>
    <w:rPr>
      <w:rFonts w:ascii="Times New Roman" w:hAnsi="Times New Roman"/>
      <w:szCs w:val="24"/>
    </w:rPr>
  </w:style>
  <w:style w:type="paragraph" w:customStyle="1" w:styleId="Default">
    <w:name w:val="Default"/>
    <w:rsid w:val="00E9524D"/>
    <w:pPr>
      <w:autoSpaceDE w:val="0"/>
      <w:autoSpaceDN w:val="0"/>
      <w:adjustRightInd w:val="0"/>
    </w:pPr>
    <w:rPr>
      <w:rFonts w:ascii="Swis721 BT" w:eastAsia="Times New Roman" w:hAnsi="Swis721 BT" w:cs="Swis721 BT"/>
      <w:color w:val="000000"/>
      <w:sz w:val="24"/>
      <w:szCs w:val="24"/>
    </w:rPr>
  </w:style>
  <w:style w:type="character" w:styleId="PageNumber">
    <w:name w:val="page number"/>
    <w:basedOn w:val="DefaultParagraphFont"/>
    <w:rsid w:val="00E9524D"/>
  </w:style>
  <w:style w:type="paragraph" w:customStyle="1" w:styleId="Level1">
    <w:name w:val="Level 1"/>
    <w:basedOn w:val="Normal"/>
    <w:rsid w:val="00E9524D"/>
    <w:pPr>
      <w:numPr>
        <w:numId w:val="20"/>
      </w:numPr>
    </w:pPr>
    <w:rPr>
      <w:rFonts w:ascii="Times New Roman" w:hAnsi="Times New Roman"/>
      <w:sz w:val="20"/>
    </w:rPr>
  </w:style>
  <w:style w:type="paragraph" w:customStyle="1" w:styleId="Level2">
    <w:name w:val="Level 2"/>
    <w:basedOn w:val="Normal"/>
    <w:rsid w:val="00E9524D"/>
    <w:pPr>
      <w:numPr>
        <w:ilvl w:val="1"/>
        <w:numId w:val="20"/>
      </w:numPr>
    </w:pPr>
    <w:rPr>
      <w:rFonts w:ascii="Times New Roman" w:hAnsi="Times New Roman"/>
      <w:sz w:val="20"/>
    </w:rPr>
  </w:style>
  <w:style w:type="paragraph" w:customStyle="1" w:styleId="Level3">
    <w:name w:val="Level 3"/>
    <w:basedOn w:val="Normal"/>
    <w:rsid w:val="00E9524D"/>
    <w:pPr>
      <w:numPr>
        <w:ilvl w:val="2"/>
        <w:numId w:val="20"/>
      </w:numPr>
    </w:pPr>
    <w:rPr>
      <w:rFonts w:ascii="Times New Roman" w:hAnsi="Times New Roman"/>
      <w:sz w:val="20"/>
    </w:rPr>
  </w:style>
  <w:style w:type="paragraph" w:customStyle="1" w:styleId="Level4">
    <w:name w:val="Level 4"/>
    <w:basedOn w:val="Normal"/>
    <w:rsid w:val="00E9524D"/>
    <w:pPr>
      <w:numPr>
        <w:ilvl w:val="3"/>
        <w:numId w:val="20"/>
      </w:numPr>
    </w:pPr>
    <w:rPr>
      <w:rFonts w:ascii="Times New Roman" w:hAnsi="Times New Roman"/>
      <w:sz w:val="20"/>
    </w:rPr>
  </w:style>
  <w:style w:type="paragraph" w:customStyle="1" w:styleId="Level5">
    <w:name w:val="Level 5"/>
    <w:basedOn w:val="Normal"/>
    <w:rsid w:val="00E9524D"/>
    <w:pPr>
      <w:numPr>
        <w:ilvl w:val="4"/>
        <w:numId w:val="20"/>
      </w:numPr>
    </w:pPr>
    <w:rPr>
      <w:rFonts w:ascii="Times New Roman" w:hAnsi="Times New Roman"/>
      <w:sz w:val="20"/>
    </w:rPr>
  </w:style>
  <w:style w:type="paragraph" w:customStyle="1" w:styleId="Level6">
    <w:name w:val="Level 6"/>
    <w:basedOn w:val="Normal"/>
    <w:rsid w:val="00E9524D"/>
    <w:pPr>
      <w:numPr>
        <w:ilvl w:val="5"/>
        <w:numId w:val="20"/>
      </w:numPr>
    </w:pPr>
    <w:rPr>
      <w:rFonts w:ascii="Times New Roman" w:hAnsi="Times New Roman"/>
      <w:sz w:val="20"/>
    </w:rPr>
  </w:style>
  <w:style w:type="paragraph" w:customStyle="1" w:styleId="Level7">
    <w:name w:val="Level 7"/>
    <w:basedOn w:val="Normal"/>
    <w:rsid w:val="00E9524D"/>
    <w:pPr>
      <w:numPr>
        <w:ilvl w:val="6"/>
        <w:numId w:val="20"/>
      </w:numPr>
    </w:pPr>
    <w:rPr>
      <w:rFonts w:ascii="Times New Roman" w:hAnsi="Times New Roman"/>
      <w:sz w:val="20"/>
    </w:rPr>
  </w:style>
  <w:style w:type="paragraph" w:customStyle="1" w:styleId="Level8">
    <w:name w:val="Level 8"/>
    <w:basedOn w:val="Normal"/>
    <w:rsid w:val="00E9524D"/>
    <w:pPr>
      <w:numPr>
        <w:ilvl w:val="7"/>
        <w:numId w:val="20"/>
      </w:numPr>
    </w:pPr>
    <w:rPr>
      <w:rFonts w:ascii="Times New Roman" w:hAnsi="Times New Roman"/>
      <w:sz w:val="20"/>
    </w:rPr>
  </w:style>
  <w:style w:type="paragraph" w:customStyle="1" w:styleId="Level9">
    <w:name w:val="Level 9"/>
    <w:basedOn w:val="Normal"/>
    <w:rsid w:val="00E9524D"/>
    <w:pPr>
      <w:numPr>
        <w:ilvl w:val="8"/>
        <w:numId w:val="20"/>
      </w:numPr>
    </w:pPr>
    <w:rPr>
      <w:rFonts w:ascii="Times New Roman" w:hAnsi="Times New Roman"/>
      <w:sz w:val="20"/>
    </w:rPr>
  </w:style>
  <w:style w:type="paragraph" w:styleId="CommentText">
    <w:name w:val="annotation text"/>
    <w:basedOn w:val="Normal"/>
    <w:link w:val="CommentTextChar"/>
    <w:rsid w:val="00E9524D"/>
    <w:rPr>
      <w:rFonts w:ascii="Times New Roman" w:hAnsi="Times New Roman"/>
      <w:sz w:val="20"/>
    </w:rPr>
  </w:style>
  <w:style w:type="character" w:customStyle="1" w:styleId="CommentTextChar">
    <w:name w:val="Comment Text Char"/>
    <w:basedOn w:val="DefaultParagraphFont"/>
    <w:link w:val="CommentText"/>
    <w:rsid w:val="00E9524D"/>
    <w:rPr>
      <w:rFonts w:ascii="Times New Roman" w:eastAsia="Times New Roman" w:hAnsi="Times New Roman" w:cs="Times New Roman"/>
      <w:szCs w:val="20"/>
    </w:rPr>
  </w:style>
  <w:style w:type="paragraph" w:styleId="Revision">
    <w:name w:val="Revision"/>
    <w:hidden/>
    <w:uiPriority w:val="99"/>
    <w:semiHidden/>
    <w:rsid w:val="00E9524D"/>
    <w:rPr>
      <w:rFonts w:ascii="Arial" w:eastAsia="Times New Roman" w:hAnsi="Arial" w:cs="Times New Roman"/>
      <w:sz w:val="24"/>
      <w:szCs w:val="20"/>
    </w:rPr>
  </w:style>
  <w:style w:type="paragraph" w:customStyle="1" w:styleId="GuideSpec">
    <w:name w:val="Guide Spec"/>
    <w:basedOn w:val="Normal"/>
    <w:link w:val="GuideSpecChar"/>
    <w:qFormat/>
    <w:rsid w:val="00115EEE"/>
    <w:rPr>
      <w:rFonts w:ascii="Helvetica" w:hAnsi="Helvetica"/>
      <w:sz w:val="20"/>
      <w:lang w:val="fr-CA" w:eastAsia="fr-CA"/>
    </w:rPr>
  </w:style>
  <w:style w:type="character" w:customStyle="1" w:styleId="GuideSpecChar">
    <w:name w:val="Guide Spec Char"/>
    <w:link w:val="GuideSpec"/>
    <w:rsid w:val="00115EEE"/>
    <w:rPr>
      <w:rFonts w:ascii="Helvetica" w:eastAsia="Times New Roman" w:hAnsi="Helvetica" w:cs="Times New Roman"/>
      <w:szCs w:val="20"/>
      <w:lang w:val="fr-CA" w:eastAsia="fr-CA"/>
    </w:rPr>
  </w:style>
  <w:style w:type="paragraph" w:customStyle="1" w:styleId="a">
    <w:name w:val="a)"/>
    <w:basedOn w:val="Normal"/>
    <w:link w:val="aChar"/>
    <w:qFormat/>
    <w:rsid w:val="00115EEE"/>
    <w:pPr>
      <w:ind w:left="2520" w:hanging="360"/>
    </w:pPr>
    <w:rPr>
      <w:rFonts w:ascii="Helvetica" w:hAnsi="Helvetica"/>
      <w:sz w:val="20"/>
      <w:lang w:val="fr-CA" w:eastAsia="fr-CA"/>
    </w:rPr>
  </w:style>
  <w:style w:type="character" w:customStyle="1" w:styleId="aChar">
    <w:name w:val="a) Char"/>
    <w:link w:val="a"/>
    <w:rsid w:val="00115EEE"/>
    <w:rPr>
      <w:rFonts w:ascii="Helvetica" w:eastAsia="Times New Roman" w:hAnsi="Helvetica" w:cs="Times New Roman"/>
      <w:szCs w:val="20"/>
      <w:lang w:val="fr-CA" w:eastAsia="fr-CA"/>
    </w:rPr>
  </w:style>
  <w:style w:type="paragraph" w:customStyle="1" w:styleId="A0">
    <w:name w:val="A."/>
    <w:basedOn w:val="GuideSpec"/>
    <w:link w:val="AChar0"/>
    <w:qFormat/>
    <w:rsid w:val="00115EEE"/>
    <w:pPr>
      <w:ind w:left="1440" w:hanging="720"/>
    </w:pPr>
  </w:style>
  <w:style w:type="character" w:customStyle="1" w:styleId="AChar0">
    <w:name w:val="A. Char"/>
    <w:link w:val="A0"/>
    <w:rsid w:val="00115EEE"/>
    <w:rPr>
      <w:rFonts w:ascii="Helvetica" w:eastAsia="Times New Roman" w:hAnsi="Helvetica" w:cs="Times New Roman"/>
      <w:szCs w:val="20"/>
      <w:lang w:val="fr-CA" w:eastAsia="fr-CA"/>
    </w:rPr>
  </w:style>
  <w:style w:type="paragraph" w:customStyle="1" w:styleId="guideNOTE">
    <w:name w:val="guideNOTE"/>
    <w:basedOn w:val="GuideSpec"/>
    <w:link w:val="guideNOTEChar"/>
    <w:qFormat/>
    <w:rsid w:val="00115EEE"/>
    <w:pPr>
      <w:jc w:val="both"/>
    </w:pPr>
    <w:rPr>
      <w:b/>
      <w:i/>
      <w:color w:val="0070C0"/>
    </w:rPr>
  </w:style>
  <w:style w:type="character" w:customStyle="1" w:styleId="guideNOTEChar">
    <w:name w:val="guideNOTE Char"/>
    <w:link w:val="guideNOTE"/>
    <w:rsid w:val="00115EEE"/>
    <w:rPr>
      <w:rFonts w:ascii="Helvetica" w:eastAsia="Times New Roman" w:hAnsi="Helvetica" w:cs="Times New Roman"/>
      <w:b/>
      <w:i/>
      <w:color w:val="0070C0"/>
      <w:szCs w:val="20"/>
      <w:lang w:val="fr-CA" w:eastAsia="fr-CA"/>
    </w:rPr>
  </w:style>
  <w:style w:type="paragraph" w:customStyle="1" w:styleId="1">
    <w:name w:val="1."/>
    <w:basedOn w:val="GuideSpec"/>
    <w:link w:val="1Char"/>
    <w:qFormat/>
    <w:rsid w:val="00115EEE"/>
    <w:pPr>
      <w:ind w:left="2160" w:hanging="720"/>
    </w:pPr>
    <w:rPr>
      <w:szCs w:val="22"/>
    </w:rPr>
  </w:style>
  <w:style w:type="character" w:customStyle="1" w:styleId="1Char">
    <w:name w:val="1. Char"/>
    <w:link w:val="1"/>
    <w:rsid w:val="00115EEE"/>
    <w:rPr>
      <w:rFonts w:ascii="Helvetica" w:eastAsia="Times New Roman" w:hAnsi="Helvetica" w:cs="Times New Roman"/>
      <w:lang w:val="fr-CA"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9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uclidchemic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4678-389F-43F2-82CD-9EDC74C2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MMB</cp:lastModifiedBy>
  <cp:revision>3</cp:revision>
  <cp:lastPrinted>2014-12-04T18:23:00Z</cp:lastPrinted>
  <dcterms:created xsi:type="dcterms:W3CDTF">2016-11-16T20:10:00Z</dcterms:created>
  <dcterms:modified xsi:type="dcterms:W3CDTF">2016-11-16T20:18:00Z</dcterms:modified>
</cp:coreProperties>
</file>